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97" w:rsidRPr="00F311E0" w:rsidRDefault="00514F97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49E" w:rsidRPr="00F311E0" w:rsidRDefault="00DA3265" w:rsidP="00B574E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1E0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F311E0" w:rsidRPr="00F311E0">
        <w:rPr>
          <w:rFonts w:ascii="Times New Roman" w:hAnsi="Times New Roman" w:cs="Times New Roman"/>
          <w:b/>
          <w:sz w:val="24"/>
          <w:szCs w:val="24"/>
        </w:rPr>
        <w:t>ТУРИСТСКО</w:t>
      </w:r>
      <w:r w:rsidR="00F311E0">
        <w:rPr>
          <w:rFonts w:ascii="Times New Roman" w:hAnsi="Times New Roman" w:cs="Times New Roman"/>
          <w:b/>
          <w:sz w:val="24"/>
          <w:szCs w:val="24"/>
        </w:rPr>
        <w:t>Й</w:t>
      </w:r>
      <w:r w:rsidRPr="00F311E0">
        <w:rPr>
          <w:rFonts w:ascii="Times New Roman" w:hAnsi="Times New Roman" w:cs="Times New Roman"/>
          <w:b/>
          <w:sz w:val="24"/>
          <w:szCs w:val="24"/>
        </w:rPr>
        <w:t>МАРШРУТНОЙ СЕТИ РЕСПУБЛИКИ ДАГЕСТАН</w:t>
      </w:r>
    </w:p>
    <w:p w:rsidR="00520B68" w:rsidRPr="00F311E0" w:rsidRDefault="00520B68" w:rsidP="00B35D08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44"/>
        <w:gridCol w:w="6520"/>
        <w:gridCol w:w="2410"/>
      </w:tblGrid>
      <w:tr w:rsidR="00362383" w:rsidRPr="00F311E0" w:rsidTr="0059134A">
        <w:tc>
          <w:tcPr>
            <w:tcW w:w="567" w:type="dxa"/>
          </w:tcPr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маршрута</w:t>
            </w:r>
          </w:p>
        </w:tc>
        <w:tc>
          <w:tcPr>
            <w:tcW w:w="3544" w:type="dxa"/>
          </w:tcPr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путешествия</w:t>
            </w:r>
          </w:p>
        </w:tc>
        <w:tc>
          <w:tcPr>
            <w:tcW w:w="6520" w:type="dxa"/>
          </w:tcPr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туристского показа, включенные в программу путешествия</w:t>
            </w:r>
          </w:p>
        </w:tc>
        <w:tc>
          <w:tcPr>
            <w:tcW w:w="2410" w:type="dxa"/>
          </w:tcPr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Продолжи-ность</w:t>
            </w:r>
          </w:p>
          <w:p w:rsidR="00362383" w:rsidRPr="00F311E0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маршрута, категория, сезонность</w:t>
            </w:r>
          </w:p>
        </w:tc>
      </w:tr>
      <w:tr w:rsidR="00362383" w:rsidRPr="00F311E0" w:rsidTr="00362383">
        <w:tc>
          <w:tcPr>
            <w:tcW w:w="15593" w:type="dxa"/>
            <w:gridSpan w:val="5"/>
          </w:tcPr>
          <w:p w:rsidR="00362383" w:rsidRPr="00362383" w:rsidRDefault="00362383" w:rsidP="00B35D0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Туристско-экскурсионные маршруты</w:t>
            </w:r>
          </w:p>
        </w:tc>
      </w:tr>
      <w:tr w:rsidR="00362383" w:rsidRPr="00F311E0" w:rsidTr="0059134A">
        <w:trPr>
          <w:trHeight w:val="1066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0F58F8">
            <w:pPr>
              <w:tabs>
                <w:tab w:val="left" w:pos="34"/>
              </w:tabs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КАЛА-КОРЕЙШ- МЕСТО ИСПОЛНЕНИЯ ЖЕЛАНИЙ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Махачкала-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Избербаш-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п. Каякент- с. Маджалис- </w:t>
            </w:r>
          </w:p>
          <w:p w:rsidR="00362383" w:rsidRPr="00F311E0" w:rsidRDefault="00362383" w:rsidP="0031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>с. Уркарах- с. Кала-Корейш-</w:t>
            </w:r>
          </w:p>
          <w:p w:rsidR="00362383" w:rsidRPr="00362383" w:rsidRDefault="00362383" w:rsidP="00312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Cs/>
                <w:sz w:val="24"/>
                <w:szCs w:val="24"/>
              </w:rPr>
              <w:t>Кала-Корейш - крепость курейшитов в Дагестане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мечеть IX века и арабское кладбище.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ч. 30 мин,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 молодежь,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май-сентябрь.</w:t>
            </w:r>
          </w:p>
        </w:tc>
      </w:tr>
      <w:tr w:rsidR="00362383" w:rsidRPr="00F311E0" w:rsidTr="0059134A">
        <w:trPr>
          <w:trHeight w:val="1829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0F58F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ДЕРБЕНТ - ЮЖНЫЕ ВОРОТА РОССИИ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г. Махачкала- г. Избербаш-</w:t>
            </w:r>
          </w:p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п. Каякент- п. Мамедкала-</w:t>
            </w:r>
          </w:p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 xml:space="preserve">г. Дагестанские Огни- </w:t>
            </w:r>
          </w:p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г. Дербент-г.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Крепость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"Нарын-Кала", Девичья баня, Дом-музей А. Бестужева-Ма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рлинского, Мужская баня, Килиса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мечеть,</w:t>
            </w:r>
            <w:r w:rsidRPr="00F311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Церковь Святого Всеспасителя (Сурб Аменапркич)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армянская</w:t>
            </w:r>
            <w:r w:rsidRPr="00F311E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церковь, Джума мечеть 734-736 гг.,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Синагога Келе-Нумаз, Музей истории мировых культур и религий, Музейный комплекс «Дом Петра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в Дербенте», Набережная города Дербента.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139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362383" w:rsidRPr="00F311E0" w:rsidRDefault="00362383" w:rsidP="00E678FD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ГУНИБ - КРАСА ДАГЕСТАНА</w:t>
            </w:r>
          </w:p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4 дня/3 ночи</w:t>
            </w:r>
          </w:p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(общая продолжительность путешествия)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Буйнакск-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Гимры- с. Унцукуль-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п. Шамилькала-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Гергебиль-с. Гуниб-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>Ворота Барятинского,  Караульный домик, Гунибский историко- краеведческий музей,  памятник «Белые  журавли», Дом- музей Ольги Форш,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>Гунибская крепость, Беседка Шамиля, Царская Поляна, развалины старого аула Гуниб (мечеть, зиндан), Горноботаническийсад.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c>
          <w:tcPr>
            <w:tcW w:w="567" w:type="dxa"/>
            <w:vMerge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6B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Буйнакск-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Гимры- с. Унцукуль-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п. Шамилькала-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с. Гергебиль- с. Карадах- 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Корода-г.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Карадахская теснина, старинная крепость времен Кавказской войны,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заброшенный аул Корода и старинная мечеть, сторожевая башня, подземная мечеть, руины   христианской церкви,  мастер-классы по традиционным ремеслам и гастрономии.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c>
          <w:tcPr>
            <w:tcW w:w="567" w:type="dxa"/>
            <w:vMerge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Буйнакск-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Гимры- с. Унцукуль-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п. Шамилькала- с.Гергебиль- </w:t>
            </w:r>
          </w:p>
          <w:p w:rsidR="00362383" w:rsidRPr="00F311E0" w:rsidRDefault="00362383" w:rsidP="000F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Салта- с. Кегер-</w:t>
            </w:r>
          </w:p>
          <w:p w:rsidR="00362383" w:rsidRPr="00F311E0" w:rsidRDefault="00362383" w:rsidP="000F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9115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Памятник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Н.И. Пирогову (врач первый </w:t>
            </w:r>
            <w:proofErr w:type="spellStart"/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вмире</w:t>
            </w:r>
            <w:proofErr w:type="spellEnd"/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применивший эфирный наркоз при оказании помощи раненым на поле сражения), М</w:t>
            </w: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емориальный комплекс павшим солдатам (скульптор   Алигаджи Салтинский), Музей Узун-Хаджи Салтинского, Салтинская теснина и водопад в гроте, Кегерский каньон, солнечные  Календари, смотровая площадка- место откуда художники </w:t>
            </w:r>
            <w:r w:rsidR="00911524"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>Ф.А. Рубо</w:t>
            </w: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>,  И.К. Айвазовский писали</w:t>
            </w:r>
            <w:r w:rsidR="00911524"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аул Гуниб.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553"/>
        </w:trPr>
        <w:tc>
          <w:tcPr>
            <w:tcW w:w="567" w:type="dxa"/>
            <w:vMerge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6B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Буйнакск-</w:t>
            </w:r>
          </w:p>
          <w:p w:rsidR="00362383" w:rsidRPr="00F311E0" w:rsidRDefault="00362383" w:rsidP="006B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Гимры- с. Унцукуль-</w:t>
            </w:r>
          </w:p>
          <w:p w:rsidR="00362383" w:rsidRPr="00F311E0" w:rsidRDefault="00362383" w:rsidP="006B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п. Шамилькала-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Гергебиль- с. Гуниб-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Чох- с. Согратль-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Дом-музей Имамгазали, Дом-музей  Нахибашевых, этно-аул Чох, смотровая площадка  с видом на заброшенный аул Гамсутль, </w:t>
            </w:r>
            <w:r w:rsidRPr="00F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Согратлинский краеведческий музей, </w:t>
            </w: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Мемориальный комплекс «Ватан».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1556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CA7F31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ДОСТОПРИМЕЧАТЕЛЬНОСТИ СУЛАКСКОГО РЕГИОНА</w:t>
            </w:r>
          </w:p>
        </w:tc>
        <w:tc>
          <w:tcPr>
            <w:tcW w:w="3544" w:type="dxa"/>
          </w:tcPr>
          <w:p w:rsidR="00362383" w:rsidRPr="00F311E0" w:rsidRDefault="00362383" w:rsidP="00C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Махачкала- с. Новый Чиркей- г. Кизилюрт- </w:t>
            </w:r>
          </w:p>
          <w:p w:rsidR="00362383" w:rsidRPr="00F311E0" w:rsidRDefault="00362383" w:rsidP="00C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п. Дубки- с. Чиркей- </w:t>
            </w:r>
          </w:p>
          <w:p w:rsidR="00362383" w:rsidRPr="00F311E0" w:rsidRDefault="00362383" w:rsidP="00C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г. Буйнакск- с. Гимры-  </w:t>
            </w:r>
          </w:p>
          <w:p w:rsidR="00362383" w:rsidRPr="00F311E0" w:rsidRDefault="00362383" w:rsidP="00C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Унцукуль- п. Шамилькала-</w:t>
            </w:r>
          </w:p>
          <w:p w:rsidR="00362383" w:rsidRPr="00F311E0" w:rsidRDefault="00362383" w:rsidP="00C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CA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Гельбах, с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Старое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Зубутли, Миатлинская ГЭС, экотуркомплекс "Главрыба", Дубки, Сулакский каньон, Чиркейская ГЭС, Чиркейское водохранилище, Пик Гагарина (В.Каранай), Гимринский тоннель, Гимринская башня, Ирганайская ГЭС, место слияния Аварского и Андийского Койсу.</w:t>
            </w:r>
          </w:p>
        </w:tc>
        <w:tc>
          <w:tcPr>
            <w:tcW w:w="2410" w:type="dxa"/>
          </w:tcPr>
          <w:p w:rsidR="00362383" w:rsidRPr="00F311E0" w:rsidRDefault="00362383" w:rsidP="00E412B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4-12 часов,</w:t>
            </w:r>
          </w:p>
          <w:p w:rsidR="00362383" w:rsidRPr="00F311E0" w:rsidRDefault="00362383" w:rsidP="00E4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E4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E412B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апрель-октябрь.</w:t>
            </w:r>
          </w:p>
        </w:tc>
      </w:tr>
      <w:tr w:rsidR="00362383" w:rsidRPr="00F311E0" w:rsidTr="0059134A">
        <w:trPr>
          <w:trHeight w:val="142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362383" w:rsidRPr="00362383" w:rsidRDefault="00362383" w:rsidP="00362383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ИСТОРИЯ ДАГЕСТАНА: ОТ ДЕРБЕНТА ДО ГУНИБА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Гуниб- с. Карадах-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Корода.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Карадахская теснина, стариная крепость времен Кавказской войны, заброшенный аул Корода и стариная мечеть, сторожевая башня, подземная мечеть, руины   христианской церкви, мастер-классы по традиционным ремеслам и гастрономии.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270"/>
        </w:trPr>
        <w:tc>
          <w:tcPr>
            <w:tcW w:w="567" w:type="dxa"/>
            <w:vMerge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с.Гуниб- с. Салта- с. Кегер.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62383" w:rsidRPr="00F311E0" w:rsidRDefault="00362383" w:rsidP="00FE3A6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Памятник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Н.И. Пирогову (врач первый вмире применивший эфирный наркоз при оказании помощи раненым на поле сражения), М</w:t>
            </w: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>емориальный комплекс павшим солдатам (скульптор   Алигаджи Салтинский), Музей Узун-Хаджи Салтинского, Салтинская теснин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F311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водопад в гроте, Кегерский каньон, солнечные  календари, смотровая площадка - место откуда художники Ф.А. Рубо,  И.К. Айвазовский писали аул Гуниб.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1120"/>
        </w:trPr>
        <w:tc>
          <w:tcPr>
            <w:tcW w:w="567" w:type="dxa"/>
            <w:vMerge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Гуниб- с. Чох-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Согратль.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Дом-музей Имамгазали, Дом-музей  Нахибашевых, этно-аул Чох, смотровая площадка  с видом на заброшенный аул Гамсутль, </w:t>
            </w:r>
            <w:r w:rsidRPr="00F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Согратлинский краеведческий музей, </w:t>
            </w: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Мемориальный комплекс «Ватан».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270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0B1222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НА РОДИНУ  РАСУЛА ГАМЗАТОВА</w:t>
            </w:r>
          </w:p>
        </w:tc>
        <w:tc>
          <w:tcPr>
            <w:tcW w:w="3544" w:type="dxa"/>
          </w:tcPr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Махачкала- г. Буйнакск- </w:t>
            </w:r>
          </w:p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с. Гимры- с. Унцукуль- </w:t>
            </w:r>
          </w:p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п. Шамилькала- с. Большой Гоцатль- с. Арани-</w:t>
            </w:r>
          </w:p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с. Хунзах- с. Цада- Матлас- </w:t>
            </w:r>
          </w:p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г.Махачкала.</w:t>
            </w:r>
          </w:p>
        </w:tc>
        <w:tc>
          <w:tcPr>
            <w:tcW w:w="6520" w:type="dxa"/>
          </w:tcPr>
          <w:p w:rsidR="00362383" w:rsidRPr="00911524" w:rsidRDefault="00362383" w:rsidP="00911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Гоцатлинский художественный комбинат,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Аранинская крепость и водопады,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Хунзахский историко-краеведческий музей, Старинная мельница, Эко-тур по березовому лесу,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Сквер имени наиба Хаджи-Мурада, Центр традиционной культуры народов</w:t>
            </w:r>
            <w:r w:rsidR="00911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Дагестана, </w:t>
            </w:r>
            <w:r w:rsidRPr="00F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Дом-музей </w:t>
            </w:r>
            <w:r w:rsidR="00911524" w:rsidRPr="00F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Цадасы, </w:t>
            </w:r>
            <w:r w:rsidR="00911524" w:rsidRPr="00F311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Мемориальный комплекс</w:t>
            </w:r>
            <w:r w:rsidR="009115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11524" w:rsidRPr="00F311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«Белые журавли», Хунзахское плато, местность «Матлас» и памятник в честь великого русского</w:t>
            </w:r>
            <w:r w:rsidR="009115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11524" w:rsidRPr="00F311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писателя Льва Толстого и героя его одноименной повести Хаджи-Мурата.</w:t>
            </w:r>
          </w:p>
        </w:tc>
        <w:tc>
          <w:tcPr>
            <w:tcW w:w="2410" w:type="dxa"/>
          </w:tcPr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13,5 часов,</w:t>
            </w:r>
          </w:p>
          <w:p w:rsidR="00362383" w:rsidRPr="00F311E0" w:rsidRDefault="00362383" w:rsidP="000B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0B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 дети,</w:t>
            </w:r>
          </w:p>
          <w:p w:rsidR="00362383" w:rsidRPr="00F311E0" w:rsidRDefault="00362383" w:rsidP="000B122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апрель-октябрь.</w:t>
            </w:r>
          </w:p>
        </w:tc>
      </w:tr>
      <w:tr w:rsidR="00362383" w:rsidRPr="00F311E0" w:rsidTr="0059134A">
        <w:trPr>
          <w:trHeight w:val="1531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0F58F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УЗОРЫ ТАБАСАРАНА И ХИВА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Избербаш-        с. Каякент- п. Мамедкала-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Дагестанские Огни-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Дербент- с. Гелинбатан-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Марага-с. Хучни- с.Хив-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Парк отдыха «Сердце Табасарана», Крепость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524">
              <w:rPr>
                <w:rFonts w:ascii="Times New Roman" w:hAnsi="Times New Roman" w:cs="Times New Roman"/>
                <w:sz w:val="24"/>
                <w:szCs w:val="24"/>
              </w:rPr>
              <w:t xml:space="preserve">«Семи братьев и одной сестры»,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Ханагский водопад,  смотровая площадка (панорамный обзор табасаранских пейзажей).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13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63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май-сентябрь.</w:t>
            </w:r>
          </w:p>
        </w:tc>
      </w:tr>
      <w:tr w:rsidR="00362383" w:rsidRPr="00F311E0" w:rsidTr="0059134A">
        <w:trPr>
          <w:trHeight w:val="1299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0F58F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САМУРСКИЙ ЛЕС-ЮЖНАЯ СКАЗКА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Избербаш-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Каякент- п. Мамедкала-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Дагестанские Огни-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Дербент-</w:t>
            </w:r>
            <w:r w:rsidR="00F42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Самур-</w:t>
            </w:r>
          </w:p>
          <w:p w:rsidR="00362383" w:rsidRPr="00F311E0" w:rsidRDefault="00362383" w:rsidP="00F4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Приморский-</w:t>
            </w:r>
            <w:r w:rsidR="00F421B6"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1B6"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68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Самурский государственный природный заказник, экотропа «Книга природы», активный отдых на природе, форелев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F311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хозяйств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F311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9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2169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ДЕРБЕНТ- КАВКАЗСКИЙ ИЕРУСАЛИМ</w:t>
            </w:r>
          </w:p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Избербаш-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Каякент- п. Мамедкала-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Дагестанские Огни-  г.Дербент-г.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Крепость «Нарын - Кала», Джума - мечеть734-736 гг., Музей истории мировых культур и религии, Церковь Святого Всеспасителя (Сурб Аменапркич), армянскаяцерковь (музей ковра), Синагога «Келе-Нумаз», </w:t>
            </w:r>
            <w:r w:rsidRPr="00F311E0"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захоронения 40 святых воинов на пути веры Ислама «Кырхлар», мавзолей жены правителя Дербента Фет-Али-Хана Туты Бике 1759- 1789 гг., культовое средневековое место- ворота Судного дня, Фамильный склеп Джум-Джум.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 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709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 - ГОРОД НА БЕРЕГУ КАСПИЯ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6520" w:type="dxa"/>
          </w:tcPr>
          <w:p w:rsidR="00362383" w:rsidRPr="0068524A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Туристическая этнокультурная площадка «Город мастеров», Центр народных художественных промыслов, Исторический парк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>Россия - моя история», Центральная Джума-меч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ть, Театрпоэзии, Памятник Расулу Гамзатову, Русский драматический театр, Дагестанский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театр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кукол,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государственный объединенный исторический и архитектурный музей им. А.  Тахо-Годи, </w:t>
            </w:r>
            <w:r w:rsidRPr="00F3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Свято-Успенский кафедральный собор,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Парк Сулеймана Стальского, памятник Сулейману Стальскому, Кумыкск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театр имени А.П. Салаватова,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улица Буйнакского, памятникВ.И. Ленину, Дагестанская филармония, парк Ленинского комсомола, памятник Воину освободителю, Аллея Славы, </w:t>
            </w:r>
            <w:r w:rsidRPr="00F3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Махачу Дахадаеву на привокзальной площади,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мечеть </w:t>
            </w:r>
            <w:r w:rsidRPr="00F311E0">
              <w:rPr>
                <w:rFonts w:ascii="Times New Roman" w:hAnsi="Times New Roman" w:cs="Times New Roman"/>
                <w:bCs/>
                <w:sz w:val="24"/>
                <w:szCs w:val="24"/>
              </w:rPr>
              <w:t>имени Имама Дагестана и Чечни шейха Шамиля, Храм Святого Равноапостольного Князя Владимира.</w:t>
            </w:r>
          </w:p>
        </w:tc>
        <w:tc>
          <w:tcPr>
            <w:tcW w:w="2410" w:type="dxa"/>
          </w:tcPr>
          <w:p w:rsidR="00362383" w:rsidRPr="00F311E0" w:rsidRDefault="00362383" w:rsidP="001D4E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5 часов,</w:t>
            </w:r>
          </w:p>
          <w:p w:rsidR="00362383" w:rsidRPr="00F311E0" w:rsidRDefault="00362383" w:rsidP="001D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1D4E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1D4E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270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К СЛИЯНИЮ ДВУХ КОЙСУ</w:t>
            </w:r>
          </w:p>
        </w:tc>
        <w:tc>
          <w:tcPr>
            <w:tcW w:w="3544" w:type="dxa"/>
          </w:tcPr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Буйнакск-</w:t>
            </w:r>
          </w:p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Гимры-с. Унцукуль-</w:t>
            </w:r>
          </w:p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п. Шамилькала-</w:t>
            </w:r>
          </w:p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Гимринская башня и Зиярат Имама Гази-Магомеда, этнографический мемориальный комплекс «Ахульго», Унцукульский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краеведческий музей, водопад «Ругутль», Ирганайское водохранилище.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63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апрель-октябрь.</w:t>
            </w:r>
          </w:p>
        </w:tc>
      </w:tr>
      <w:tr w:rsidR="00362383" w:rsidRPr="00F311E0" w:rsidTr="0059134A">
        <w:trPr>
          <w:trHeight w:val="1397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КИЗЛЯР - РОДИНА П.И. БАГРАТИОНА</w:t>
            </w:r>
          </w:p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62383" w:rsidRPr="00F311E0" w:rsidRDefault="00362383" w:rsidP="00FA1E08">
            <w:pPr>
              <w:tabs>
                <w:tab w:val="left" w:pos="34"/>
              </w:tabs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2383" w:rsidRPr="00F311E0" w:rsidRDefault="00362383" w:rsidP="00312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Махачкала- г. Кизляр-</w:t>
            </w:r>
          </w:p>
          <w:p w:rsidR="00362383" w:rsidRPr="00F311E0" w:rsidRDefault="00362383" w:rsidP="00312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685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Сквер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«50 лет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Октября», Музей </w:t>
            </w: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им. П. И. Багратиона, Парк им. Петра </w:t>
            </w: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Музей казачьей культуры, Сквер им. П.И. Багратиона, Музей современной истории города Кизляра, Храм Георгия Победоносца, Кизлярский коньячный завод им. П.И. Багратиона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63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270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ПО ТРОПАМ КИЗЛЯРСКОГО РАЙОНА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</w:t>
            </w:r>
          </w:p>
          <w:p w:rsidR="00362383" w:rsidRPr="00F311E0" w:rsidRDefault="00362383" w:rsidP="00F421B6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Аверьяновка-</w:t>
            </w:r>
            <w:r w:rsidR="00F421B6"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1B6" w:rsidRPr="00F311E0">
              <w:rPr>
                <w:rFonts w:ascii="Times New Roman" w:hAnsi="Times New Roman" w:cs="Times New Roman"/>
                <w:sz w:val="24"/>
                <w:szCs w:val="24"/>
              </w:rPr>
              <w:t>с.Черняевка</w:t>
            </w:r>
            <w:proofErr w:type="spellEnd"/>
            <w:r w:rsidR="00F421B6" w:rsidRPr="00F3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Александрия-</w:t>
            </w:r>
            <w:r w:rsidRPr="00F311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 Кизляр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с. Кардоновка-</w:t>
            </w:r>
            <w:r w:rsidR="00F42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6852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 традиционной культуры народов России, музей в с. Черняевка, музей при Александрийской библиотеке,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старинная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крепость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XVI-XVII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вв., Бальнеологическая    лечебница   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Кардоновка.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12,5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63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1687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БАРХАН САРЫКУМ -СОКРОВИЩЕ КУМТОРКАЛЫ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Коркмаскала- заповедник «Дагестанский»-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7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 традиционной культуры народов России в с. Коркмаскала,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Заповедник «Дагестанский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участок Сарыкумские барханы, </w:t>
            </w:r>
            <w:r w:rsidRPr="00F311E0">
              <w:rPr>
                <w:rFonts w:ascii="Times New Roman" w:eastAsia="Calibri" w:hAnsi="Times New Roman" w:cs="Times New Roman"/>
                <w:sz w:val="24"/>
                <w:szCs w:val="24"/>
              </w:rPr>
              <w:t>музей природы, смотровая площадка, экотропа «Путь мудрой черепахи», вольерный комплекс для реабилитации животных, определитель видов деревьев, 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рый вокзал, водонапорная башня. </w:t>
            </w:r>
          </w:p>
        </w:tc>
        <w:tc>
          <w:tcPr>
            <w:tcW w:w="2410" w:type="dxa"/>
          </w:tcPr>
          <w:p w:rsidR="00D2037F" w:rsidRDefault="00362383" w:rsidP="00C34E6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8 часов,   </w:t>
            </w:r>
          </w:p>
          <w:p w:rsidR="00362383" w:rsidRPr="00F311E0" w:rsidRDefault="00362383" w:rsidP="00C34E6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март-ноябрь.</w:t>
            </w:r>
          </w:p>
        </w:tc>
      </w:tr>
      <w:tr w:rsidR="00362383" w:rsidRPr="00F311E0" w:rsidTr="0059134A">
        <w:trPr>
          <w:trHeight w:val="553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СИМВОЛ АУЛА АХТЫ</w:t>
            </w:r>
          </w:p>
        </w:tc>
        <w:tc>
          <w:tcPr>
            <w:tcW w:w="3544" w:type="dxa"/>
          </w:tcPr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г. Избербаш-          с. Каякент- п. Мамедкала-</w:t>
            </w:r>
          </w:p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Дагестанские Огни-</w:t>
            </w:r>
          </w:p>
          <w:p w:rsidR="00362383" w:rsidRPr="00F311E0" w:rsidRDefault="00362383" w:rsidP="0009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Дербент- с. Магарамкент- с. Усухчай-с. Мискинджа- с. Ахты.</w:t>
            </w:r>
          </w:p>
        </w:tc>
        <w:tc>
          <w:tcPr>
            <w:tcW w:w="6520" w:type="dxa"/>
          </w:tcPr>
          <w:p w:rsidR="00362383" w:rsidRPr="00F311E0" w:rsidRDefault="00362383" w:rsidP="0076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с. Ахты, </w:t>
            </w:r>
            <w:r w:rsidRPr="00F311E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памятник Валентин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F311E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Эмиров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F311E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геро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Pr="00F311E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Советского Союза,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Ахтынский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краеведческий музей, Ахтынская крепость,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Ахтынские мосты, </w:t>
            </w:r>
            <w:r w:rsidRPr="00F311E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смотровая площадка, мемориальная ротонда в честь героя лезгинского национального эпоса Шарвили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старинные ахтынские бани. 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9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63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май-октябрь.</w:t>
            </w:r>
          </w:p>
        </w:tc>
      </w:tr>
      <w:tr w:rsidR="00362383" w:rsidRPr="00F311E0" w:rsidTr="0059134A">
        <w:trPr>
          <w:trHeight w:val="699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БАЛХАР -ПУТЕШЕСТВИЕ </w:t>
            </w:r>
            <w:r w:rsidRPr="00F31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АУЛ МАСТЕРОВ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Махачкала- г. Каспийск- 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п. Манаскент-</w:t>
            </w:r>
          </w:p>
          <w:p w:rsidR="0059134A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с. Карабудахкент-с. Леваши- 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Акуша-</w:t>
            </w:r>
            <w:r w:rsidR="0059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Балхар-</w:t>
            </w:r>
          </w:p>
          <w:p w:rsidR="00362383" w:rsidRPr="00F311E0" w:rsidRDefault="00362383" w:rsidP="0036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Аул гончаров Балхар, дом-музей потомственного мастера по работе с камнем, Комбинат балхарской керамики, </w:t>
            </w:r>
            <w:r w:rsidRPr="00F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мастер-классы по традиционным ремеслам и гастрономии.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14 часов,</w:t>
            </w:r>
          </w:p>
          <w:p w:rsidR="00362383" w:rsidRPr="00F311E0" w:rsidRDefault="00362383" w:rsidP="0034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C3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362383" w:rsidRPr="00F311E0" w:rsidRDefault="00362383" w:rsidP="00C3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апрель-октябрь.</w:t>
            </w:r>
          </w:p>
        </w:tc>
      </w:tr>
      <w:tr w:rsidR="00362383" w:rsidRPr="00F311E0" w:rsidTr="0059134A">
        <w:trPr>
          <w:trHeight w:val="270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340E79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ПО ИСТОКАМ ЛАКИИ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Махачкала- пос. Манас-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Карабудахкент-</w:t>
            </w:r>
            <w:r w:rsidR="0059134A"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34A" w:rsidRPr="00F311E0">
              <w:rPr>
                <w:rFonts w:ascii="Times New Roman" w:hAnsi="Times New Roman" w:cs="Times New Roman"/>
                <w:sz w:val="24"/>
                <w:szCs w:val="24"/>
              </w:rPr>
              <w:t>с. Леваши-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с. Хаджалмахи-</w:t>
            </w:r>
            <w:r w:rsidR="0059134A" w:rsidRPr="00F3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34A" w:rsidRPr="00F311E0">
              <w:rPr>
                <w:rFonts w:ascii="Times New Roman" w:hAnsi="Times New Roman" w:cs="Times New Roman"/>
                <w:sz w:val="24"/>
                <w:szCs w:val="24"/>
              </w:rPr>
              <w:t>с. Кумух-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D50A34" w:rsidRDefault="00362383" w:rsidP="0027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34">
              <w:rPr>
                <w:rFonts w:ascii="Times New Roman" w:hAnsi="Times New Roman" w:cs="Times New Roman"/>
                <w:sz w:val="24"/>
                <w:szCs w:val="24"/>
              </w:rPr>
              <w:t>с. Кумух, памятник Парту Патимат, Джума-мечеть 778г., Краеведческий музей имени Мусы Манарова, крепость Гумик, Стена Славы, Ханское озеро.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апрель-октябрь.</w:t>
            </w:r>
          </w:p>
        </w:tc>
      </w:tr>
      <w:tr w:rsidR="00362383" w:rsidRPr="00F311E0" w:rsidTr="0059134A">
        <w:trPr>
          <w:trHeight w:val="567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ТРОЛЛЕЙБУСНАЯ ЭКСКУРСИЯ «МАХАЧКАЛА-ГОРОД НА БЕРЕГУ КАСПИЯ»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г. Махачкала.</w:t>
            </w:r>
          </w:p>
        </w:tc>
        <w:tc>
          <w:tcPr>
            <w:tcW w:w="6520" w:type="dxa"/>
          </w:tcPr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Джума-мечеть, Парк им.50-летия Октября, Русский театр, памятник Расулу Гамзатову, Национальная библиотека, Родопский бульвар, Аварский театр, памятник С. Стальскому,</w:t>
            </w:r>
            <w:r w:rsidR="0059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памятник жертвам Чернобыльской АЭС, </w:t>
            </w:r>
          </w:p>
          <w:p w:rsidR="00362383" w:rsidRPr="00F311E0" w:rsidRDefault="00362383" w:rsidP="00EF75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Буйнакского, Кумыкский театр,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Национальный Музей Республики Дагестан им. А. Тахо-Годи,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 работникам МВД,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главная 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Махачкалы,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Сквер Дружбы,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 им. Ленинского комсомола.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4.5 часа,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круглогодично.</w:t>
            </w:r>
          </w:p>
        </w:tc>
      </w:tr>
      <w:tr w:rsidR="00362383" w:rsidRPr="00F311E0" w:rsidTr="0059134A">
        <w:trPr>
          <w:trHeight w:val="412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ГАСТРОНОМИЧЕСКИЙ ТУР В БОТЛИХСКИЙ РАЙОН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Ботлихский район</w:t>
            </w:r>
          </w:p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с. Рахата.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62383" w:rsidRPr="00F311E0" w:rsidRDefault="00362383" w:rsidP="003A511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Пешая экскурсия по с. Рахата, форелевое хозяйство,  мельница по изготовлению урбеча,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цех по изготовлению бурок,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Ансалтинское ущелье и водохранилище, джиппинг  на гору Онсоросо, Ансалтинский сосновый лес.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2 дня/1 ночь,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март-ноябрь.</w:t>
            </w:r>
          </w:p>
        </w:tc>
      </w:tr>
      <w:tr w:rsidR="00362383" w:rsidRPr="00F311E0" w:rsidTr="0059134A">
        <w:trPr>
          <w:trHeight w:val="818"/>
        </w:trPr>
        <w:tc>
          <w:tcPr>
            <w:tcW w:w="567" w:type="dxa"/>
          </w:tcPr>
          <w:p w:rsidR="00362383" w:rsidRPr="00F311E0" w:rsidRDefault="00362383" w:rsidP="001B2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2383" w:rsidRPr="00F311E0" w:rsidRDefault="00362383" w:rsidP="00FA1E08">
            <w:pPr>
              <w:tabs>
                <w:tab w:val="left" w:pos="34"/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ТУР «ИМПЕРАТОРСКИЙ ПУ</w:t>
            </w:r>
            <w:bookmarkStart w:id="0" w:name="_GoBack"/>
            <w:bookmarkEnd w:id="0"/>
            <w:r w:rsidRPr="00F311E0">
              <w:rPr>
                <w:rFonts w:ascii="Times New Roman" w:hAnsi="Times New Roman" w:cs="Times New Roman"/>
                <w:b/>
                <w:sz w:val="24"/>
                <w:szCs w:val="24"/>
              </w:rPr>
              <w:t>ТЬ»</w:t>
            </w:r>
          </w:p>
        </w:tc>
        <w:tc>
          <w:tcPr>
            <w:tcW w:w="3544" w:type="dxa"/>
          </w:tcPr>
          <w:p w:rsidR="00362383" w:rsidRPr="00F311E0" w:rsidRDefault="00362383" w:rsidP="003123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1E0">
              <w:rPr>
                <w:rFonts w:ascii="Times New Roman" w:hAnsi="Times New Roman"/>
                <w:sz w:val="24"/>
                <w:szCs w:val="24"/>
              </w:rPr>
              <w:t>г.Махачкала- с.Гуниб.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62383" w:rsidRPr="00F311E0" w:rsidRDefault="00362383" w:rsidP="00396E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Историко-архитектурный музей, Императорский  дом, Царская поляна, крепостные  ворота, Карадахская теснина.</w:t>
            </w:r>
          </w:p>
        </w:tc>
        <w:tc>
          <w:tcPr>
            <w:tcW w:w="2410" w:type="dxa"/>
          </w:tcPr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12 часов,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молодежь,дети,</w:t>
            </w:r>
          </w:p>
          <w:p w:rsidR="00362383" w:rsidRPr="00F311E0" w:rsidRDefault="00362383" w:rsidP="0031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0">
              <w:rPr>
                <w:rFonts w:ascii="Times New Roman" w:hAnsi="Times New Roman" w:cs="Times New Roman"/>
                <w:sz w:val="24"/>
                <w:szCs w:val="24"/>
              </w:rPr>
              <w:t>март-ноябрь.</w:t>
            </w:r>
          </w:p>
        </w:tc>
      </w:tr>
    </w:tbl>
    <w:p w:rsidR="009E1E4A" w:rsidRPr="00F311E0" w:rsidRDefault="009E1E4A">
      <w:pPr>
        <w:rPr>
          <w:rFonts w:ascii="Times New Roman" w:hAnsi="Times New Roman" w:cs="Times New Roman"/>
        </w:rPr>
      </w:pPr>
    </w:p>
    <w:sectPr w:rsidR="009E1E4A" w:rsidRPr="00F311E0" w:rsidSect="00B35D08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421"/>
    <w:multiLevelType w:val="hybridMultilevel"/>
    <w:tmpl w:val="B5B6B3C2"/>
    <w:lvl w:ilvl="0" w:tplc="86A00A7E">
      <w:start w:val="1"/>
      <w:numFmt w:val="decimal"/>
      <w:lvlText w:val="%1."/>
      <w:lvlJc w:val="left"/>
      <w:pPr>
        <w:ind w:left="108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E2319"/>
    <w:multiLevelType w:val="hybridMultilevel"/>
    <w:tmpl w:val="9740E3CA"/>
    <w:lvl w:ilvl="0" w:tplc="86A00A7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B4234"/>
    <w:multiLevelType w:val="hybridMultilevel"/>
    <w:tmpl w:val="3DDC69C2"/>
    <w:lvl w:ilvl="0" w:tplc="A3A68D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9BE"/>
    <w:rsid w:val="00000C63"/>
    <w:rsid w:val="0000596B"/>
    <w:rsid w:val="00012DB4"/>
    <w:rsid w:val="0001317D"/>
    <w:rsid w:val="0001420C"/>
    <w:rsid w:val="0001721E"/>
    <w:rsid w:val="00023E87"/>
    <w:rsid w:val="00026462"/>
    <w:rsid w:val="0003332A"/>
    <w:rsid w:val="00037D1C"/>
    <w:rsid w:val="00047D74"/>
    <w:rsid w:val="000533D6"/>
    <w:rsid w:val="0005378C"/>
    <w:rsid w:val="00055704"/>
    <w:rsid w:val="00056A62"/>
    <w:rsid w:val="000616E0"/>
    <w:rsid w:val="00070D05"/>
    <w:rsid w:val="00071BD4"/>
    <w:rsid w:val="00071F69"/>
    <w:rsid w:val="00082E25"/>
    <w:rsid w:val="00091BA9"/>
    <w:rsid w:val="000937B4"/>
    <w:rsid w:val="00093C40"/>
    <w:rsid w:val="000A3E58"/>
    <w:rsid w:val="000A678F"/>
    <w:rsid w:val="000B1222"/>
    <w:rsid w:val="000B169F"/>
    <w:rsid w:val="000B1FF0"/>
    <w:rsid w:val="000B3E05"/>
    <w:rsid w:val="000C21C5"/>
    <w:rsid w:val="000E0884"/>
    <w:rsid w:val="000E0F37"/>
    <w:rsid w:val="000E4903"/>
    <w:rsid w:val="000F1307"/>
    <w:rsid w:val="000F134D"/>
    <w:rsid w:val="000F2404"/>
    <w:rsid w:val="000F4CC0"/>
    <w:rsid w:val="000F58F8"/>
    <w:rsid w:val="000F757A"/>
    <w:rsid w:val="001022E4"/>
    <w:rsid w:val="00104BC2"/>
    <w:rsid w:val="00115772"/>
    <w:rsid w:val="001158CC"/>
    <w:rsid w:val="00125D47"/>
    <w:rsid w:val="00134CFE"/>
    <w:rsid w:val="00135BDD"/>
    <w:rsid w:val="0014593F"/>
    <w:rsid w:val="00154AE6"/>
    <w:rsid w:val="00155164"/>
    <w:rsid w:val="00155345"/>
    <w:rsid w:val="00176BBF"/>
    <w:rsid w:val="00181DFD"/>
    <w:rsid w:val="00190C1B"/>
    <w:rsid w:val="001A0724"/>
    <w:rsid w:val="001A4086"/>
    <w:rsid w:val="001A747E"/>
    <w:rsid w:val="001B0429"/>
    <w:rsid w:val="001B2B8D"/>
    <w:rsid w:val="001C02ED"/>
    <w:rsid w:val="001C0EB2"/>
    <w:rsid w:val="001D0574"/>
    <w:rsid w:val="001D243A"/>
    <w:rsid w:val="001D2F2C"/>
    <w:rsid w:val="001D3757"/>
    <w:rsid w:val="001D4EC5"/>
    <w:rsid w:val="001D51F7"/>
    <w:rsid w:val="001D6887"/>
    <w:rsid w:val="001E34EB"/>
    <w:rsid w:val="001E4819"/>
    <w:rsid w:val="001F155B"/>
    <w:rsid w:val="002037D5"/>
    <w:rsid w:val="00210B16"/>
    <w:rsid w:val="00222B5B"/>
    <w:rsid w:val="00224C49"/>
    <w:rsid w:val="0022678E"/>
    <w:rsid w:val="00226E58"/>
    <w:rsid w:val="00230991"/>
    <w:rsid w:val="00231F25"/>
    <w:rsid w:val="00237F50"/>
    <w:rsid w:val="002416AB"/>
    <w:rsid w:val="00243F45"/>
    <w:rsid w:val="0024441D"/>
    <w:rsid w:val="00246982"/>
    <w:rsid w:val="0026049C"/>
    <w:rsid w:val="00264EAA"/>
    <w:rsid w:val="002720BC"/>
    <w:rsid w:val="00276319"/>
    <w:rsid w:val="00280792"/>
    <w:rsid w:val="0028295C"/>
    <w:rsid w:val="002831DD"/>
    <w:rsid w:val="0028502A"/>
    <w:rsid w:val="00287D19"/>
    <w:rsid w:val="00294BD3"/>
    <w:rsid w:val="002A0B07"/>
    <w:rsid w:val="002A1C47"/>
    <w:rsid w:val="002A41D8"/>
    <w:rsid w:val="002A5E55"/>
    <w:rsid w:val="002B33BC"/>
    <w:rsid w:val="002C1499"/>
    <w:rsid w:val="002C149E"/>
    <w:rsid w:val="002C1EC3"/>
    <w:rsid w:val="002C6E8F"/>
    <w:rsid w:val="002D00A7"/>
    <w:rsid w:val="002D7DB1"/>
    <w:rsid w:val="002E6300"/>
    <w:rsid w:val="002F1B0E"/>
    <w:rsid w:val="002F25A3"/>
    <w:rsid w:val="002F45B6"/>
    <w:rsid w:val="002F67BD"/>
    <w:rsid w:val="00303109"/>
    <w:rsid w:val="003123C5"/>
    <w:rsid w:val="00317C4D"/>
    <w:rsid w:val="00323B73"/>
    <w:rsid w:val="00325E64"/>
    <w:rsid w:val="0032771A"/>
    <w:rsid w:val="003310D5"/>
    <w:rsid w:val="00333F24"/>
    <w:rsid w:val="00340E79"/>
    <w:rsid w:val="003421E5"/>
    <w:rsid w:val="00343190"/>
    <w:rsid w:val="0034339D"/>
    <w:rsid w:val="00343C47"/>
    <w:rsid w:val="00344F5F"/>
    <w:rsid w:val="00347C78"/>
    <w:rsid w:val="0035667C"/>
    <w:rsid w:val="00361C4B"/>
    <w:rsid w:val="00362383"/>
    <w:rsid w:val="0038081A"/>
    <w:rsid w:val="00381B14"/>
    <w:rsid w:val="003822C3"/>
    <w:rsid w:val="0038232A"/>
    <w:rsid w:val="00385606"/>
    <w:rsid w:val="00385C3E"/>
    <w:rsid w:val="0038617F"/>
    <w:rsid w:val="00387346"/>
    <w:rsid w:val="003919B3"/>
    <w:rsid w:val="0039410C"/>
    <w:rsid w:val="0039473C"/>
    <w:rsid w:val="003960E2"/>
    <w:rsid w:val="00396EC5"/>
    <w:rsid w:val="003A5118"/>
    <w:rsid w:val="003A699F"/>
    <w:rsid w:val="003A767D"/>
    <w:rsid w:val="003B07BC"/>
    <w:rsid w:val="003B1FC4"/>
    <w:rsid w:val="003B2781"/>
    <w:rsid w:val="003B7F55"/>
    <w:rsid w:val="003C0EB0"/>
    <w:rsid w:val="003C30A6"/>
    <w:rsid w:val="003C3BB4"/>
    <w:rsid w:val="003C7F9F"/>
    <w:rsid w:val="003E19BE"/>
    <w:rsid w:val="003F36DC"/>
    <w:rsid w:val="003F47EF"/>
    <w:rsid w:val="00422A2A"/>
    <w:rsid w:val="00427064"/>
    <w:rsid w:val="00430789"/>
    <w:rsid w:val="004311F6"/>
    <w:rsid w:val="00432280"/>
    <w:rsid w:val="004347C8"/>
    <w:rsid w:val="004350BA"/>
    <w:rsid w:val="00453788"/>
    <w:rsid w:val="00455CC2"/>
    <w:rsid w:val="00460440"/>
    <w:rsid w:val="00464F65"/>
    <w:rsid w:val="00475390"/>
    <w:rsid w:val="00491DEA"/>
    <w:rsid w:val="00494A03"/>
    <w:rsid w:val="00496F9D"/>
    <w:rsid w:val="004A782E"/>
    <w:rsid w:val="004B172D"/>
    <w:rsid w:val="004B4BFE"/>
    <w:rsid w:val="004C095E"/>
    <w:rsid w:val="004C2EB3"/>
    <w:rsid w:val="004C7536"/>
    <w:rsid w:val="004D0577"/>
    <w:rsid w:val="004D6FB0"/>
    <w:rsid w:val="004E51C2"/>
    <w:rsid w:val="004E55B8"/>
    <w:rsid w:val="004F31D0"/>
    <w:rsid w:val="00505F7E"/>
    <w:rsid w:val="00507557"/>
    <w:rsid w:val="005102C7"/>
    <w:rsid w:val="00512729"/>
    <w:rsid w:val="00514F97"/>
    <w:rsid w:val="00520B68"/>
    <w:rsid w:val="00522B02"/>
    <w:rsid w:val="00525DEA"/>
    <w:rsid w:val="0054073E"/>
    <w:rsid w:val="00546364"/>
    <w:rsid w:val="00552C97"/>
    <w:rsid w:val="00552CFE"/>
    <w:rsid w:val="005548E9"/>
    <w:rsid w:val="00557B50"/>
    <w:rsid w:val="005622CB"/>
    <w:rsid w:val="00562537"/>
    <w:rsid w:val="00562A85"/>
    <w:rsid w:val="005636EB"/>
    <w:rsid w:val="0057182B"/>
    <w:rsid w:val="005723AB"/>
    <w:rsid w:val="005733D8"/>
    <w:rsid w:val="00573D0A"/>
    <w:rsid w:val="00573F68"/>
    <w:rsid w:val="00580FF9"/>
    <w:rsid w:val="00585F22"/>
    <w:rsid w:val="00586A00"/>
    <w:rsid w:val="0059134A"/>
    <w:rsid w:val="00591546"/>
    <w:rsid w:val="00592785"/>
    <w:rsid w:val="00593B2F"/>
    <w:rsid w:val="00595143"/>
    <w:rsid w:val="005A5F4D"/>
    <w:rsid w:val="005A71D2"/>
    <w:rsid w:val="005C0CFC"/>
    <w:rsid w:val="005C1B24"/>
    <w:rsid w:val="005C3CEE"/>
    <w:rsid w:val="005C6ADF"/>
    <w:rsid w:val="005D4CB6"/>
    <w:rsid w:val="005E0A10"/>
    <w:rsid w:val="005E44E5"/>
    <w:rsid w:val="005E71CD"/>
    <w:rsid w:val="005F2696"/>
    <w:rsid w:val="005F7DD4"/>
    <w:rsid w:val="00600CAD"/>
    <w:rsid w:val="00602E6D"/>
    <w:rsid w:val="0061303D"/>
    <w:rsid w:val="00615C81"/>
    <w:rsid w:val="006259B3"/>
    <w:rsid w:val="00625C95"/>
    <w:rsid w:val="0062729A"/>
    <w:rsid w:val="006371D0"/>
    <w:rsid w:val="0063750E"/>
    <w:rsid w:val="006413EE"/>
    <w:rsid w:val="006464A8"/>
    <w:rsid w:val="006508F5"/>
    <w:rsid w:val="006527BE"/>
    <w:rsid w:val="00653519"/>
    <w:rsid w:val="0065738A"/>
    <w:rsid w:val="00660E4D"/>
    <w:rsid w:val="0066517F"/>
    <w:rsid w:val="006731D2"/>
    <w:rsid w:val="00680C76"/>
    <w:rsid w:val="00684861"/>
    <w:rsid w:val="0068524A"/>
    <w:rsid w:val="00686264"/>
    <w:rsid w:val="00687303"/>
    <w:rsid w:val="00691F9B"/>
    <w:rsid w:val="006A0480"/>
    <w:rsid w:val="006A153B"/>
    <w:rsid w:val="006B662F"/>
    <w:rsid w:val="006B6E62"/>
    <w:rsid w:val="006D0239"/>
    <w:rsid w:val="006D5784"/>
    <w:rsid w:val="006D7F84"/>
    <w:rsid w:val="006E2B23"/>
    <w:rsid w:val="006E7D31"/>
    <w:rsid w:val="006F45BE"/>
    <w:rsid w:val="006F4AD9"/>
    <w:rsid w:val="006F6EA3"/>
    <w:rsid w:val="00701D5C"/>
    <w:rsid w:val="00703262"/>
    <w:rsid w:val="00712060"/>
    <w:rsid w:val="0072730C"/>
    <w:rsid w:val="00734F56"/>
    <w:rsid w:val="00744D93"/>
    <w:rsid w:val="007457D7"/>
    <w:rsid w:val="00753780"/>
    <w:rsid w:val="007624B9"/>
    <w:rsid w:val="0076673B"/>
    <w:rsid w:val="00766ADB"/>
    <w:rsid w:val="00780D21"/>
    <w:rsid w:val="00785EDE"/>
    <w:rsid w:val="00791B80"/>
    <w:rsid w:val="007936E3"/>
    <w:rsid w:val="00793770"/>
    <w:rsid w:val="00796D7C"/>
    <w:rsid w:val="007A0867"/>
    <w:rsid w:val="007A504F"/>
    <w:rsid w:val="007B215E"/>
    <w:rsid w:val="007C0128"/>
    <w:rsid w:val="007D029F"/>
    <w:rsid w:val="007D034D"/>
    <w:rsid w:val="007D0C56"/>
    <w:rsid w:val="007E5983"/>
    <w:rsid w:val="007E667A"/>
    <w:rsid w:val="007F0E05"/>
    <w:rsid w:val="007F3288"/>
    <w:rsid w:val="007F3D3C"/>
    <w:rsid w:val="00803F30"/>
    <w:rsid w:val="00806026"/>
    <w:rsid w:val="00807D43"/>
    <w:rsid w:val="00812118"/>
    <w:rsid w:val="00813A9A"/>
    <w:rsid w:val="00814660"/>
    <w:rsid w:val="00814AB3"/>
    <w:rsid w:val="00826352"/>
    <w:rsid w:val="008402B1"/>
    <w:rsid w:val="00840AC4"/>
    <w:rsid w:val="0084437A"/>
    <w:rsid w:val="00844F06"/>
    <w:rsid w:val="008501BA"/>
    <w:rsid w:val="00854164"/>
    <w:rsid w:val="008545EC"/>
    <w:rsid w:val="00855DE5"/>
    <w:rsid w:val="0086122D"/>
    <w:rsid w:val="008851C8"/>
    <w:rsid w:val="00890360"/>
    <w:rsid w:val="00892AEF"/>
    <w:rsid w:val="008935D4"/>
    <w:rsid w:val="008956B8"/>
    <w:rsid w:val="008A2141"/>
    <w:rsid w:val="008A3090"/>
    <w:rsid w:val="008A3AD4"/>
    <w:rsid w:val="008A56CC"/>
    <w:rsid w:val="008A5A8E"/>
    <w:rsid w:val="008B1678"/>
    <w:rsid w:val="008B16F5"/>
    <w:rsid w:val="008B6357"/>
    <w:rsid w:val="008D1738"/>
    <w:rsid w:val="008D2E18"/>
    <w:rsid w:val="008D784D"/>
    <w:rsid w:val="008E3208"/>
    <w:rsid w:val="008F0BAE"/>
    <w:rsid w:val="008F2EDF"/>
    <w:rsid w:val="00907A15"/>
    <w:rsid w:val="00911524"/>
    <w:rsid w:val="00915B12"/>
    <w:rsid w:val="00915B3B"/>
    <w:rsid w:val="00921EA7"/>
    <w:rsid w:val="00926415"/>
    <w:rsid w:val="009272C7"/>
    <w:rsid w:val="0094652C"/>
    <w:rsid w:val="0094730F"/>
    <w:rsid w:val="0095017A"/>
    <w:rsid w:val="00960086"/>
    <w:rsid w:val="00965636"/>
    <w:rsid w:val="00966D35"/>
    <w:rsid w:val="00967F21"/>
    <w:rsid w:val="00972592"/>
    <w:rsid w:val="00974B84"/>
    <w:rsid w:val="00984371"/>
    <w:rsid w:val="009863A4"/>
    <w:rsid w:val="00990190"/>
    <w:rsid w:val="0099470E"/>
    <w:rsid w:val="00996BE3"/>
    <w:rsid w:val="00997BD0"/>
    <w:rsid w:val="009A3AD4"/>
    <w:rsid w:val="009A5474"/>
    <w:rsid w:val="009B5414"/>
    <w:rsid w:val="009C7F7A"/>
    <w:rsid w:val="009D43D8"/>
    <w:rsid w:val="009D744B"/>
    <w:rsid w:val="009E1E4A"/>
    <w:rsid w:val="009F49C3"/>
    <w:rsid w:val="00A07B9F"/>
    <w:rsid w:val="00A14B93"/>
    <w:rsid w:val="00A20BDD"/>
    <w:rsid w:val="00A23FFF"/>
    <w:rsid w:val="00A30F4A"/>
    <w:rsid w:val="00A34902"/>
    <w:rsid w:val="00A351F8"/>
    <w:rsid w:val="00A4095B"/>
    <w:rsid w:val="00A46470"/>
    <w:rsid w:val="00A47C0B"/>
    <w:rsid w:val="00A518FC"/>
    <w:rsid w:val="00A53068"/>
    <w:rsid w:val="00A625F2"/>
    <w:rsid w:val="00A62942"/>
    <w:rsid w:val="00A63B48"/>
    <w:rsid w:val="00A73EE4"/>
    <w:rsid w:val="00A7474B"/>
    <w:rsid w:val="00A75409"/>
    <w:rsid w:val="00A76FD8"/>
    <w:rsid w:val="00A82723"/>
    <w:rsid w:val="00A91484"/>
    <w:rsid w:val="00A92020"/>
    <w:rsid w:val="00A93260"/>
    <w:rsid w:val="00AB3436"/>
    <w:rsid w:val="00AB39A8"/>
    <w:rsid w:val="00AB62ED"/>
    <w:rsid w:val="00AC1316"/>
    <w:rsid w:val="00AC1AF7"/>
    <w:rsid w:val="00AC2303"/>
    <w:rsid w:val="00AD1772"/>
    <w:rsid w:val="00AE15EE"/>
    <w:rsid w:val="00AE3965"/>
    <w:rsid w:val="00AF1ABE"/>
    <w:rsid w:val="00AF34C9"/>
    <w:rsid w:val="00B01629"/>
    <w:rsid w:val="00B110F9"/>
    <w:rsid w:val="00B16E5B"/>
    <w:rsid w:val="00B22904"/>
    <w:rsid w:val="00B22C45"/>
    <w:rsid w:val="00B24A7F"/>
    <w:rsid w:val="00B25CAE"/>
    <w:rsid w:val="00B35D08"/>
    <w:rsid w:val="00B37A9E"/>
    <w:rsid w:val="00B417B1"/>
    <w:rsid w:val="00B4363C"/>
    <w:rsid w:val="00B460BB"/>
    <w:rsid w:val="00B51E60"/>
    <w:rsid w:val="00B55FBE"/>
    <w:rsid w:val="00B574E3"/>
    <w:rsid w:val="00B63E67"/>
    <w:rsid w:val="00B7196E"/>
    <w:rsid w:val="00B74375"/>
    <w:rsid w:val="00B77A71"/>
    <w:rsid w:val="00B77F41"/>
    <w:rsid w:val="00B9242D"/>
    <w:rsid w:val="00B96CDC"/>
    <w:rsid w:val="00BA0EEC"/>
    <w:rsid w:val="00BA1E9D"/>
    <w:rsid w:val="00BA2AD2"/>
    <w:rsid w:val="00BA6F05"/>
    <w:rsid w:val="00BB01CC"/>
    <w:rsid w:val="00BB08C5"/>
    <w:rsid w:val="00BB0B3F"/>
    <w:rsid w:val="00BB0CA8"/>
    <w:rsid w:val="00BC2683"/>
    <w:rsid w:val="00BC495D"/>
    <w:rsid w:val="00BC726A"/>
    <w:rsid w:val="00BD03A7"/>
    <w:rsid w:val="00BD0BE7"/>
    <w:rsid w:val="00BD7589"/>
    <w:rsid w:val="00BE0359"/>
    <w:rsid w:val="00BE2E8E"/>
    <w:rsid w:val="00BE30EF"/>
    <w:rsid w:val="00BF1E25"/>
    <w:rsid w:val="00BF5D9D"/>
    <w:rsid w:val="00C0136E"/>
    <w:rsid w:val="00C03DA3"/>
    <w:rsid w:val="00C10D0C"/>
    <w:rsid w:val="00C1249A"/>
    <w:rsid w:val="00C17ECF"/>
    <w:rsid w:val="00C23ACF"/>
    <w:rsid w:val="00C27653"/>
    <w:rsid w:val="00C33C25"/>
    <w:rsid w:val="00C34E60"/>
    <w:rsid w:val="00C44690"/>
    <w:rsid w:val="00C458B7"/>
    <w:rsid w:val="00C46728"/>
    <w:rsid w:val="00C47CA4"/>
    <w:rsid w:val="00C506DB"/>
    <w:rsid w:val="00C54D95"/>
    <w:rsid w:val="00C56BAF"/>
    <w:rsid w:val="00C669D6"/>
    <w:rsid w:val="00C737F6"/>
    <w:rsid w:val="00C75A96"/>
    <w:rsid w:val="00C80C92"/>
    <w:rsid w:val="00C82C4F"/>
    <w:rsid w:val="00C839B6"/>
    <w:rsid w:val="00C90693"/>
    <w:rsid w:val="00C925C0"/>
    <w:rsid w:val="00C941B1"/>
    <w:rsid w:val="00CA7F31"/>
    <w:rsid w:val="00CB6312"/>
    <w:rsid w:val="00CC3155"/>
    <w:rsid w:val="00CD4C4C"/>
    <w:rsid w:val="00CE260B"/>
    <w:rsid w:val="00CE6670"/>
    <w:rsid w:val="00CF3033"/>
    <w:rsid w:val="00CF417C"/>
    <w:rsid w:val="00D13CDE"/>
    <w:rsid w:val="00D2037F"/>
    <w:rsid w:val="00D2087E"/>
    <w:rsid w:val="00D22A31"/>
    <w:rsid w:val="00D26DE5"/>
    <w:rsid w:val="00D30AF5"/>
    <w:rsid w:val="00D30E36"/>
    <w:rsid w:val="00D43C10"/>
    <w:rsid w:val="00D450F4"/>
    <w:rsid w:val="00D4731F"/>
    <w:rsid w:val="00D50A34"/>
    <w:rsid w:val="00D56854"/>
    <w:rsid w:val="00D719FA"/>
    <w:rsid w:val="00D763F3"/>
    <w:rsid w:val="00D822AF"/>
    <w:rsid w:val="00D86A78"/>
    <w:rsid w:val="00D9159B"/>
    <w:rsid w:val="00D92421"/>
    <w:rsid w:val="00D93519"/>
    <w:rsid w:val="00D93F3E"/>
    <w:rsid w:val="00D9722B"/>
    <w:rsid w:val="00D973CD"/>
    <w:rsid w:val="00DA08A0"/>
    <w:rsid w:val="00DA123F"/>
    <w:rsid w:val="00DA25D0"/>
    <w:rsid w:val="00DA3265"/>
    <w:rsid w:val="00DA4877"/>
    <w:rsid w:val="00DA6D64"/>
    <w:rsid w:val="00DB3F5D"/>
    <w:rsid w:val="00DC52F5"/>
    <w:rsid w:val="00DC57E8"/>
    <w:rsid w:val="00DC6D6B"/>
    <w:rsid w:val="00DD0CFC"/>
    <w:rsid w:val="00DE249F"/>
    <w:rsid w:val="00DF472E"/>
    <w:rsid w:val="00DF6C77"/>
    <w:rsid w:val="00E01EFC"/>
    <w:rsid w:val="00E06B8D"/>
    <w:rsid w:val="00E07AB6"/>
    <w:rsid w:val="00E1403F"/>
    <w:rsid w:val="00E148A0"/>
    <w:rsid w:val="00E25AB4"/>
    <w:rsid w:val="00E2682E"/>
    <w:rsid w:val="00E30F89"/>
    <w:rsid w:val="00E32FBE"/>
    <w:rsid w:val="00E378BB"/>
    <w:rsid w:val="00E412B9"/>
    <w:rsid w:val="00E41923"/>
    <w:rsid w:val="00E45025"/>
    <w:rsid w:val="00E47C3A"/>
    <w:rsid w:val="00E5524F"/>
    <w:rsid w:val="00E678FD"/>
    <w:rsid w:val="00E67A41"/>
    <w:rsid w:val="00E67C8E"/>
    <w:rsid w:val="00E67F3A"/>
    <w:rsid w:val="00E70664"/>
    <w:rsid w:val="00E708CD"/>
    <w:rsid w:val="00E75353"/>
    <w:rsid w:val="00E772B1"/>
    <w:rsid w:val="00E93EB3"/>
    <w:rsid w:val="00EA24C2"/>
    <w:rsid w:val="00EA4217"/>
    <w:rsid w:val="00EB02DB"/>
    <w:rsid w:val="00EB5B82"/>
    <w:rsid w:val="00EB6BE4"/>
    <w:rsid w:val="00EB7792"/>
    <w:rsid w:val="00ED05A0"/>
    <w:rsid w:val="00ED718E"/>
    <w:rsid w:val="00EE6B66"/>
    <w:rsid w:val="00EF6E32"/>
    <w:rsid w:val="00EF75D2"/>
    <w:rsid w:val="00EF7D45"/>
    <w:rsid w:val="00F125BB"/>
    <w:rsid w:val="00F15387"/>
    <w:rsid w:val="00F22A33"/>
    <w:rsid w:val="00F2763C"/>
    <w:rsid w:val="00F27777"/>
    <w:rsid w:val="00F311E0"/>
    <w:rsid w:val="00F315F8"/>
    <w:rsid w:val="00F316AA"/>
    <w:rsid w:val="00F32D32"/>
    <w:rsid w:val="00F330C6"/>
    <w:rsid w:val="00F421B6"/>
    <w:rsid w:val="00F44AF2"/>
    <w:rsid w:val="00F46F42"/>
    <w:rsid w:val="00F51BE6"/>
    <w:rsid w:val="00F5489C"/>
    <w:rsid w:val="00F558B9"/>
    <w:rsid w:val="00F6045A"/>
    <w:rsid w:val="00F67B86"/>
    <w:rsid w:val="00F76158"/>
    <w:rsid w:val="00F77E0E"/>
    <w:rsid w:val="00F81277"/>
    <w:rsid w:val="00F95E29"/>
    <w:rsid w:val="00FA1E08"/>
    <w:rsid w:val="00FA249D"/>
    <w:rsid w:val="00FB0BDF"/>
    <w:rsid w:val="00FB2396"/>
    <w:rsid w:val="00FC7E3C"/>
    <w:rsid w:val="00FD4E5A"/>
    <w:rsid w:val="00FE3A62"/>
    <w:rsid w:val="00FE7158"/>
    <w:rsid w:val="00FF5452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E2AE"/>
  <w15:docId w15:val="{915836C6-0667-4691-8748-97F96933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6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A3265"/>
  </w:style>
  <w:style w:type="paragraph" w:styleId="a4">
    <w:name w:val="List Paragraph"/>
    <w:basedOn w:val="a"/>
    <w:uiPriority w:val="34"/>
    <w:qFormat/>
    <w:rsid w:val="00DA3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DA3265"/>
    <w:rPr>
      <w:color w:val="0000FF"/>
      <w:u w:val="single"/>
    </w:rPr>
  </w:style>
  <w:style w:type="character" w:styleId="a6">
    <w:name w:val="Strong"/>
    <w:basedOn w:val="a0"/>
    <w:uiPriority w:val="22"/>
    <w:qFormat/>
    <w:rsid w:val="00DA3265"/>
    <w:rPr>
      <w:b/>
      <w:bCs/>
    </w:rPr>
  </w:style>
  <w:style w:type="paragraph" w:styleId="a7">
    <w:name w:val="Normal (Web)"/>
    <w:basedOn w:val="a"/>
    <w:uiPriority w:val="99"/>
    <w:unhideWhenUsed/>
    <w:rsid w:val="00854164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D17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937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37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937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37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361C-2308-416F-9FF4-09139E94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6967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Мурад Дагиров</cp:lastModifiedBy>
  <cp:revision>311</cp:revision>
  <cp:lastPrinted>2021-12-29T12:17:00Z</cp:lastPrinted>
  <dcterms:created xsi:type="dcterms:W3CDTF">2016-11-02T09:49:00Z</dcterms:created>
  <dcterms:modified xsi:type="dcterms:W3CDTF">2022-04-15T06:56:00Z</dcterms:modified>
</cp:coreProperties>
</file>